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  <w:contextualSpacing w:val="fals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УСТАВ САМАРСКОЙ РЕГИОНАЛЬНОЙ ОБЩЕСТВЕННОЙ   ОРГАНИЗАЦИИ «РУССКИЙ НАЦИОНАЛЬНЫЙ ЦЕНТР»</w:t>
        <w:tab/>
      </w:r>
    </w:p>
    <w:p>
      <w:pPr>
        <w:pStyle w:val="style0"/>
        <w:rPr/>
      </w:pPr>
      <w:r>
        <w:rPr/>
        <w:t>Зарегистрирован отделом юстиции Самарской области № 875 23</w:t>
      </w:r>
      <w:bookmarkStart w:id="0" w:name="_GoBack"/>
      <w:bookmarkEnd w:id="0"/>
      <w:r>
        <w:rPr/>
        <w:t>.01.1996г.</w:t>
      </w:r>
    </w:p>
    <w:p>
      <w:pPr>
        <w:pStyle w:val="style27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1.1.Самарская региональная общественная организация « Русский национальный центр» ( в дальнейшем- РНЦ)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1.2. Деятельность РНЦ  основывается на принципах добровольности, равноправия, самоуправления и законности. РНЦ свободен в определении своей внутренней структуры, целей, форм и методов своей деятельности.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1.3. РНЦ создан и действует в соответствии с Конституцией РФ, гражданским кодексом РФ, Федеральным Законом « Об общественных объединениях» и другими нормативными актами РФ.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1.4. Правоспособность РНЦ как юридического лица возникает с момента его государственной регистрации. РНЦ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1.5. РНЦ обладает самостоятельным балансом, имеет расчетные, валютные и иные счета, печать и штампы со своими наименованием и эмблемой.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1.6. РНЦ вправе создавать союзы (ассоциации) общественных объединений.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1.7. РНЦ вправе создавать свои структурные подразделения-организации, отделения или филиалы и представительства.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1.8. Вмешательство органов государственной власти и их должностных лиц в деятельность РНЦ, равно как и вмешательство РНЦ в деятельность органов государственной власти и их должностных лиц, не допускается, за исключением случаев, предусмотренных законами РФ.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1.9. РНЦ осуществляет свою деятельность на территории Самарской области.</w:t>
      </w:r>
    </w:p>
    <w:p>
      <w:pPr>
        <w:pStyle w:val="style0"/>
        <w:tabs>
          <w:tab w:leader="none" w:pos="4224" w:val="left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27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ПРАВА И ОБЯЗАННОСТИ РНЦ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2.1.РНЦ имеет право: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-свободно распространять информацию о своей деятельности;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предусмотренных законами РФ;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-проводить собрания, и митинги, демонстрации, шествия, пикетирование,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-учреждать средства массовой информации и осуществлять издательскую деятельность;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-осуществлять в полном объеме полномочия, предусмотренные законами об общественных объединениях;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-выступать с инициативами по различным вопросам общественной жизни, вносить предположения в органы государственной власти.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2.2РНЦ обязан: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-соблюдать законодательство Российской Федерации, общепризнанные принципы и нормы международного права, касающиеся сферы его деятельности. А также нормы, предусмотренные его Уставом;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 ежегодно информировать отдел юстиции Администрации Самарской области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РНЦ  в объеме сведений, включаемых в единый государственный реестр юридических лиц;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-представлять по запросу отдела юстиции решения руководящих органов и должностных лиц РНЦ, а также годовые и квартальные отчеты о своей деятельности в объеме сведений представляемых в налоговые органы;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-допускать представителей отдела юстиции на проводимые РНЦ мероприятия;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-оказать содействие представителям отдела юстиции в ознакомлении с деятельностью РНЦ в связи с достижением уставных целей и соблюдением законодательства Российской Федерации.</w:t>
      </w:r>
    </w:p>
    <w:p>
      <w:pPr>
        <w:pStyle w:val="style0"/>
        <w:tabs>
          <w:tab w:leader="none" w:pos="4224" w:val="left"/>
        </w:tabs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numPr>
          <w:ilvl w:val="0"/>
          <w:numId w:val="1"/>
        </w:numPr>
        <w:spacing w:after="0" w:before="0" w:line="10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ОСНОВНЫЕ ВИДЫ </w:t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 РНЦ.</w:t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3.1.Целями РНЦ являются: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-сохранения духовного наследия Русского народа;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-развитие и пропаганда его историко-культурных традиций;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-защита прав и законных интересов Русского народа;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-благотворительность.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3.2. Основные виды деятельности РНЦ: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общественно-политических мероприятиях по защите гражданских и социально-экономических прав Русского народа в соответствии с законами РФ;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-поддержка процесса самоорганизации Русского народа;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-выработка программ и предложений в защиту прав и законных интересов Русского народа и направление их в органы государственной власти и местного самоуправления;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связей между различными национальными, культурными и иными общественными объединениями в целях выработки взаимоприемлемых позиций и совместных действий в достижении межнационального согласия;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предпринимательской деятельности лишь  постольку, поскольку это служит достижению  уставных целей и соответствующую этим целям.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РНЦ может создавать хозяйственные товарищества, и иные хозяйственные организации, а также  приобретать имущество, предназначенное для ведения предпринимательской деятельности.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 развитие историко-культурных традиций Русского народа;- укрепление и развитие духовности на основе православных устоев и традиций христианства;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связей и развитие сотрудничества с другими общественными объединениями России и СНГ близких по духу, взглядам, идеям и задачам РНЦ;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благотворительной деятельности;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рабочих контактов с органами государственной власти и местного самоуправления Самарской области.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4092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.ПРАВА И ОБЯЗАННОСТИ ЧЛЕНОВ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4.1.Членами РНЦ могут быть: любой русский гражданин, достигший 18-летнего возраста, юридические лица-общественные объединения, признающие Программу и Устава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Членство в РНЦ несовместимо с поддержкой идей тоталитаризма, расовой и религиозной нетерпимости, а также с пропагандой антигосударственных взглядов.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4.2. Прием индивидуального члена производится на основании письменного заявления, поданного в Исполком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4.3. Прием коллективного члена осуществляется на основании решения руководящего органа юридического лица-общественного объединения, поданного в Исполком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4.4. В РНЦ действует установленной формы единое «Удостоверение члена РНЦ»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4.5. Член РНЦ имеет право: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-избирать и быть избранным в руководящие и контрольно-ревизионный органы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критиковать деятельность руководящих органов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руководящие органы РНЦ по всем Уставным и Программным вопросам объединения;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-давать свои предложения и замечания в Исполком РНЦ, свободно высказывать свое мнение на собраниях по любым вопросам деятельности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другие организации по указанию Исполкома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4.6.Член РНЦ обязан: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норм Устава;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уплачивать вступительный и членские взносы;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активно проводить в жизнь цели и задачи РНЦ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-строить свою деятельность на основе национальных идеалов и духовных ценностей, утверждать принципы социальной и межнациональной справедливости, единства и солидарности  народов России;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законность, помня о чести и достоинстве идеалов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-принимать активное участие во всех общественно-политических мероприятиях на всей территории Самарской области с тем, чтобы лучше знать состояние и положение русского населения.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4.7 Членство в РНЦ прекращается в случае: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-выхода из РНЦ по собственному желанию;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-исключения из членов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Член РНЦ вправе в любое время выйти из состава РНЦ, подав заявление в Исполком РНЦ.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4.9. Член РНЦ может быть исключен из РНЦ решением Исполкома РНЦ в случае: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если его деятельность будет признана несовместимой с целями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требований норм Устава;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-если возникли вновь вскрывшиеся обстоятельства, противоречащие Уставу и ранее неизвестные.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об исключении считается принятым, если за него проголосовало не менее половины членов Исполкома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2808" w:val="left"/>
        </w:tabs>
        <w:spacing w:after="0" w:before="0" w:line="100" w:lineRule="atLeast"/>
        <w:ind w:hanging="0" w:left="3396" w:right="0"/>
        <w:contextualSpacing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СТРУКТУРА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КОМПЕТЕНЦИЯ И ПОРЯДОК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ОБРАЗОВАНИЯ РУКОВОДЯЩИХ ОРГАНОВ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СРОКИ ИХ ПОЛНОМОЧИЙ.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5.1.РНЦ состоит из территориальных отделений (ТО), осуществляющих свою деятельность в соответствии с законами РФ, настоящим Уставом  и Программой РНЦ. Координирует деятельность ТО председатель ТО, избираемый на общем собрании ТО и утверждаемый Исполком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5.2. Руководящие органы РНЦ: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-общее собрание членов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Исполком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Исполкома;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5.3. Общее собрание членов РНЦ является высшим руководящим органом РНЦ. Общее собрание членов РНЦ созывается не реже 1 раза в год. Общее собрание членов РНЦ считается правомочным, если на нем присутствует более 50% членов РНЦ. Решение общего собрания членов РНЦ принимаются простым большинством голосов членов РНЦ, присутствующих на общем собрании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5.4. К исключительной компетенции общего собрания членов РНЦ относится: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-внесение в  Устав  изменений и дополнений;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-принятие или изменения Программы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избрание сроком на 2 года Исполкома РНЦ, Председателя Исполкома и контрольно-ревизионной комиссии;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отчетов о деятельности Исполкома РНЦ, Председателя Исполкома и контрольно-ревизионной комиссии.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прекращении деятельности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о внесении изменении и дополнений в Устав и ликвидации РНЦ принимается 2/3 голосов членов РНЦ, присутствующих на общем собрании членов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5.6. В период между общим собраниями руководство РНЦ осуществляют Исполком РНЦ и Председатель Исполкома.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5.7. Исполком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выполнение решений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финансовыми и материальными средствами РНЦ, разрабатывает годовой финансовый план и смету, осуществляет контроль за их исполнением;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создании структурных подразделений РНЦ;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новых членов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-исключает из членов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размеры  вступительного  и ежемесячных членских взносов;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фонд оплаты труда аппарата управления.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5.8. Исполком РНЦ решает и другие вопросы деятельности РНЦ, не относящиеся к исключительной компетенции общего собрания членов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5.9. Исполком РНЦ проводит свои заседания не реже 1 раза в квартал. Решения Исполкома принимаются простым большинством голосов членов Исполкома.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Заседания Исполкома РНЦ созываются Председателем Исполкома.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5.10. Исполком РНЦ вправе передавать часть своих полномочий Председателю Исполкома.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5.11. Председатель Исполкома: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решений принятых общим собранием членов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-созывает заседания Исполкома РНЦ; организует выполнение его решений;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без доверенности РНЦ во взаимоотношениях с органами государственной власти, органами местного самоуправления, с физическими и юридическими лицами;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от имени РНЦ гражданско-правовые сделки;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Исполкома РНЦ и подразделений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-распоряжается средствами и имуществом РНЦ;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5.12. Утверждает штатное расписание, назначает главного бухгалтера, исполнительного директора.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5.13. Контроль за финансово- хозяйственной деятельностью РНЦ осуществляет контрольно-ревизионная комиссия.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3612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tabs>
          <w:tab w:leader="none" w:pos="3612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5.14. Контрольно-ревизионная комиссия РНЦ избирается из членов РНЦ, не входящих в состав руководящих органов РНЦ.</w:t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2808" w:val="left"/>
        </w:tabs>
        <w:spacing w:after="0" w:before="0" w:line="100" w:lineRule="atLeast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СОБСТВЕНОСТЬ РНЦ.</w:t>
      </w:r>
    </w:p>
    <w:p>
      <w:pPr>
        <w:pStyle w:val="style0"/>
        <w:spacing w:after="0" w:before="0" w:line="100" w:lineRule="atLeast"/>
        <w:contextualSpacing w:val="fals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ИСТОЧНИКИ ФОРМИРОВАНИЯ ИМУЩЕСТВА РНЦ.</w:t>
      </w:r>
    </w:p>
    <w:p>
      <w:pPr>
        <w:pStyle w:val="style0"/>
        <w:spacing w:after="0" w:before="0" w:line="100" w:lineRule="atLeast"/>
        <w:contextualSpacing w:val="false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6.1. РНЦ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РНЦ, указанной в Уставе.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собственности РНЦ могут также находится учреждения, издательства, средства массовой информации, создаваемые и приобретаемые за счет средств РНЦ в соответствии с его уставными целями.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6.2. Имущество РНЦ формируется на основе вступительных и членских взносов; добровольных взносов и пожертвований; поступлений от проводимых в соответствии с Уставом лекций, выставок и иных мероприятий, доходов от предпринимательской деятельности РНЦ; гражданско-правовых сделок; внешнеэкономической деятельности РНЦ других незапрещенных законом поступлений.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 ПРЕКРАЩЕНИЕ ДЕЯТЕЛЬНОСТИ РНЦ.</w:t>
      </w:r>
    </w:p>
    <w:p>
      <w:pPr>
        <w:pStyle w:val="style0"/>
        <w:spacing w:after="0" w:before="0" w:line="100" w:lineRule="atLeast"/>
        <w:contextualSpacing w:val="false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7.1. Прекращение деятельности РНЦ осуществляется путем реорганизации или ликвидации.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7.2. Решение о реорганизации РНЦ осуществляется по решению общего собрания. Имущество РНЦ переходит после его реорганизации к вновь возникшим юридическим лицам, в порядке, предусмотренном Гражданским кодексом РФ.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>7.3. Ликвидация РНЦ осуществляется либо по решению общего собрания, либо в судебном порядке.</w:t>
      </w:r>
    </w:p>
    <w:p>
      <w:pPr>
        <w:pStyle w:val="style0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Имущество, оставшееся в результате ликвидации РНЦ, после удовлетворения требований кредиторов направляется на цели, предусмотренные Уставом РНЦ.</w:t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7"/>
        <w:spacing w:after="0" w:before="0" w:line="100" w:lineRule="atLeast"/>
        <w:ind w:hanging="0" w:left="3396" w:right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7"/>
        <w:spacing w:after="0" w:before="0" w:line="100" w:lineRule="atLeast"/>
        <w:ind w:hanging="0" w:left="3396" w:right="0"/>
        <w:contextualSpacing/>
        <w:rPr/>
      </w:pPr>
      <w:r>
        <w:rPr/>
      </w:r>
    </w:p>
    <w:sectPr>
      <w:headerReference r:id="rId2" w:type="default"/>
      <w:type w:val="nextPage"/>
      <w:pgSz w:h="15840" w:w="12240"/>
      <w:pgMar w:bottom="1134" w:footer="0" w:gutter="0" w:header="720" w:left="1701" w:right="850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26"/>
      <w:tabs>
        <w:tab w:leader="none" w:pos="4020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3396"/>
      </w:pPr>
      <w:rPr>
        <w:b/>
      </w:rPr>
    </w:lvl>
    <w:lvl w:ilvl="1">
      <w:start w:val="1"/>
      <w:numFmt w:val="decimal"/>
      <w:lvlText w:val="%1.%2."/>
      <w:lvlJc w:val="left"/>
      <w:pPr>
        <w:ind w:hanging="720" w:left="4116"/>
      </w:pPr>
    </w:lvl>
    <w:lvl w:ilvl="2">
      <w:start w:val="1"/>
      <w:numFmt w:val="decimal"/>
      <w:lvlText w:val="%1.%2.%3."/>
      <w:lvlJc w:val="left"/>
      <w:pPr>
        <w:ind w:hanging="720" w:left="4836"/>
      </w:pPr>
    </w:lvl>
    <w:lvl w:ilvl="3">
      <w:start w:val="1"/>
      <w:numFmt w:val="decimal"/>
      <w:lvlText w:val="%1.%2.%3.%4."/>
      <w:lvlJc w:val="left"/>
      <w:pPr>
        <w:ind w:hanging="1080" w:left="5916"/>
      </w:pPr>
    </w:lvl>
    <w:lvl w:ilvl="4">
      <w:start w:val="1"/>
      <w:numFmt w:val="decimal"/>
      <w:lvlText w:val="%1.%2.%3.%4.%5."/>
      <w:lvlJc w:val="left"/>
      <w:pPr>
        <w:ind w:hanging="1080" w:left="6636"/>
      </w:pPr>
    </w:lvl>
    <w:lvl w:ilvl="5">
      <w:start w:val="1"/>
      <w:numFmt w:val="decimal"/>
      <w:lvlText w:val="%1.%2.%3.%4.%5.%6."/>
      <w:lvlJc w:val="left"/>
      <w:pPr>
        <w:ind w:hanging="1440" w:left="7716"/>
      </w:pPr>
    </w:lvl>
    <w:lvl w:ilvl="6">
      <w:start w:val="1"/>
      <w:numFmt w:val="decimal"/>
      <w:lvlText w:val="%1.%2.%3.%4.%5.%6.%7."/>
      <w:lvlJc w:val="left"/>
      <w:pPr>
        <w:ind w:hanging="1800" w:left="8796"/>
      </w:pPr>
    </w:lvl>
    <w:lvl w:ilvl="7">
      <w:start w:val="1"/>
      <w:numFmt w:val="decimal"/>
      <w:lvlText w:val="%1.%2.%3.%4.%5.%6.%7.%8."/>
      <w:lvlJc w:val="left"/>
      <w:pPr>
        <w:ind w:hanging="1800" w:left="9516"/>
      </w:pPr>
    </w:lvl>
    <w:lvl w:ilvl="8">
      <w:start w:val="1"/>
      <w:numFmt w:val="decimal"/>
      <w:lvlText w:val="%1.%2.%3.%4.%5.%6.%7.%8.%9."/>
      <w:lvlJc w:val="left"/>
      <w:pPr>
        <w:ind w:hanging="2160" w:left="10596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line number"/>
    <w:basedOn w:val="style15"/>
    <w:next w:val="style17"/>
    <w:rPr/>
  </w:style>
  <w:style w:styleId="style18" w:type="character">
    <w:name w:val="Заголовок 1 Знак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ListLabel 1"/>
    <w:next w:val="style20"/>
    <w:rPr>
      <w:b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2015-01-16T17:47:00Z</dcterms:created>
  <dc:creator>user</dc:creator>
  <cp:lastModifiedBy>Владимир</cp:lastModifiedBy>
  <dcterms:modified xsi:type="dcterms:W3CDTF">2015-01-16T17:47:00Z</dcterms:modified>
  <cp:revision>2</cp:revision>
</cp:coreProperties>
</file>